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9B2D" w14:textId="673FBD78" w:rsidR="008D105F" w:rsidRPr="008D105F" w:rsidRDefault="008D105F" w:rsidP="008D105F">
      <w:pPr>
        <w:jc w:val="right"/>
        <w:rPr>
          <w:rFonts w:cstheme="minorHAnsi"/>
        </w:rPr>
      </w:pPr>
      <w:r w:rsidRPr="003F6A67">
        <w:rPr>
          <w:rFonts w:cstheme="minorHAnsi"/>
          <w:noProof/>
          <w:lang w:eastAsia="fr-BE"/>
        </w:rPr>
        <w:drawing>
          <wp:anchor distT="0" distB="0" distL="114300" distR="114300" simplePos="0" relativeHeight="251659264" behindDoc="0" locked="0" layoutInCell="1" allowOverlap="1" wp14:anchorId="4DB37ACF" wp14:editId="6111355F">
            <wp:simplePos x="0" y="0"/>
            <wp:positionH relativeFrom="margin">
              <wp:posOffset>-156210</wp:posOffset>
            </wp:positionH>
            <wp:positionV relativeFrom="paragraph">
              <wp:posOffset>0</wp:posOffset>
            </wp:positionV>
            <wp:extent cx="1960245" cy="1671320"/>
            <wp:effectExtent l="0" t="0" r="1905" b="5080"/>
            <wp:wrapSquare wrapText="bothSides"/>
            <wp:docPr id="1" name="Image 1" descr="logo-ok ess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ok essai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45" cy="1671320"/>
                    </a:xfrm>
                    <a:prstGeom prst="rect">
                      <a:avLst/>
                    </a:prstGeom>
                    <a:solidFill>
                      <a:srgbClr val="CCC1DA"/>
                    </a:solidFill>
                    <a:ln>
                      <a:noFill/>
                    </a:ln>
                  </pic:spPr>
                </pic:pic>
              </a:graphicData>
            </a:graphic>
            <wp14:sizeRelH relativeFrom="margin">
              <wp14:pctWidth>0</wp14:pctWidth>
            </wp14:sizeRelH>
            <wp14:sizeRelV relativeFrom="margin">
              <wp14:pctHeight>0</wp14:pctHeight>
            </wp14:sizeRelV>
          </wp:anchor>
        </w:drawing>
      </w:r>
      <w:bookmarkStart w:id="0" w:name="_Hlk53425772"/>
      <w:bookmarkEnd w:id="0"/>
      <w:r w:rsidRPr="003F6A67">
        <w:rPr>
          <w:rFonts w:cstheme="minorHAnsi"/>
          <w:sz w:val="24"/>
        </w:rPr>
        <w:tab/>
      </w:r>
      <w:r w:rsidRPr="003F6A67">
        <w:rPr>
          <w:rFonts w:cstheme="minorHAnsi"/>
          <w:sz w:val="24"/>
        </w:rPr>
        <w:tab/>
      </w:r>
      <w:r w:rsidRPr="003F6A67">
        <w:rPr>
          <w:rFonts w:cstheme="minorHAnsi"/>
          <w:sz w:val="24"/>
        </w:rPr>
        <w:tab/>
      </w:r>
      <w:r w:rsidRPr="003F6A67">
        <w:rPr>
          <w:rFonts w:cstheme="minorHAnsi"/>
          <w:sz w:val="24"/>
        </w:rPr>
        <w:tab/>
      </w:r>
      <w:r w:rsidRPr="008D105F">
        <w:rPr>
          <w:rFonts w:cstheme="minorHAnsi"/>
        </w:rPr>
        <w:t>Angleur, le 10 novembre 2020</w:t>
      </w:r>
    </w:p>
    <w:p w14:paraId="0EB5E04C" w14:textId="77777777" w:rsidR="008D105F" w:rsidRPr="0094189B" w:rsidRDefault="008D105F" w:rsidP="008D105F">
      <w:pPr>
        <w:jc w:val="both"/>
        <w:rPr>
          <w:rFonts w:cstheme="minorHAnsi"/>
          <w:sz w:val="18"/>
          <w:szCs w:val="18"/>
        </w:rPr>
      </w:pPr>
      <w:r w:rsidRPr="0094189B">
        <w:rPr>
          <w:rFonts w:cstheme="minorHAnsi"/>
          <w:b/>
          <w:color w:val="7030A0"/>
          <w:sz w:val="18"/>
          <w:szCs w:val="18"/>
        </w:rPr>
        <w:t xml:space="preserve">Institut Maria </w:t>
      </w:r>
      <w:proofErr w:type="spellStart"/>
      <w:r w:rsidRPr="0094189B">
        <w:rPr>
          <w:rFonts w:cstheme="minorHAnsi"/>
          <w:b/>
          <w:color w:val="7030A0"/>
          <w:sz w:val="18"/>
          <w:szCs w:val="18"/>
        </w:rPr>
        <w:t>Goretti</w:t>
      </w:r>
      <w:proofErr w:type="spellEnd"/>
      <w:r w:rsidRPr="0094189B">
        <w:rPr>
          <w:rFonts w:cstheme="minorHAnsi"/>
          <w:b/>
          <w:color w:val="7030A0"/>
          <w:sz w:val="18"/>
          <w:szCs w:val="18"/>
        </w:rPr>
        <w:t xml:space="preserve"> </w:t>
      </w:r>
    </w:p>
    <w:p w14:paraId="726A7A01" w14:textId="77777777" w:rsidR="008D105F" w:rsidRPr="0094189B" w:rsidRDefault="008D105F" w:rsidP="008D105F">
      <w:pPr>
        <w:jc w:val="both"/>
        <w:outlineLvl w:val="0"/>
        <w:rPr>
          <w:rFonts w:cstheme="minorHAnsi"/>
          <w:b/>
          <w:color w:val="7030A0"/>
          <w:sz w:val="18"/>
          <w:szCs w:val="18"/>
        </w:rPr>
      </w:pPr>
      <w:r w:rsidRPr="0094189B">
        <w:rPr>
          <w:rFonts w:cstheme="minorHAnsi"/>
          <w:b/>
          <w:color w:val="7030A0"/>
          <w:sz w:val="18"/>
          <w:szCs w:val="18"/>
        </w:rPr>
        <w:t xml:space="preserve">Rue </w:t>
      </w:r>
      <w:proofErr w:type="spellStart"/>
      <w:r w:rsidRPr="0094189B">
        <w:rPr>
          <w:rFonts w:cstheme="minorHAnsi"/>
          <w:b/>
          <w:color w:val="7030A0"/>
          <w:sz w:val="18"/>
          <w:szCs w:val="18"/>
        </w:rPr>
        <w:t>Renory</w:t>
      </w:r>
      <w:proofErr w:type="spellEnd"/>
      <w:r w:rsidRPr="0094189B">
        <w:rPr>
          <w:rFonts w:cstheme="minorHAnsi"/>
          <w:b/>
          <w:color w:val="7030A0"/>
          <w:sz w:val="18"/>
          <w:szCs w:val="18"/>
        </w:rPr>
        <w:t xml:space="preserve"> 101</w:t>
      </w:r>
    </w:p>
    <w:p w14:paraId="79D7739E" w14:textId="77777777" w:rsidR="008D105F" w:rsidRPr="0094189B" w:rsidRDefault="008D105F" w:rsidP="008D105F">
      <w:pPr>
        <w:jc w:val="both"/>
        <w:outlineLvl w:val="0"/>
        <w:rPr>
          <w:rFonts w:cstheme="minorHAnsi"/>
          <w:b/>
          <w:color w:val="7030A0"/>
          <w:sz w:val="18"/>
          <w:szCs w:val="18"/>
        </w:rPr>
      </w:pPr>
      <w:proofErr w:type="gramStart"/>
      <w:r w:rsidRPr="0094189B">
        <w:rPr>
          <w:rFonts w:cstheme="minorHAnsi"/>
          <w:b/>
          <w:color w:val="7030A0"/>
          <w:sz w:val="18"/>
          <w:szCs w:val="18"/>
        </w:rPr>
        <w:t>4031  Angleur</w:t>
      </w:r>
      <w:proofErr w:type="gramEnd"/>
    </w:p>
    <w:p w14:paraId="597B6CF5" w14:textId="77777777" w:rsidR="008D105F" w:rsidRPr="0094189B" w:rsidRDefault="008D105F" w:rsidP="008D105F">
      <w:pPr>
        <w:jc w:val="both"/>
        <w:outlineLvl w:val="0"/>
        <w:rPr>
          <w:rFonts w:cstheme="minorHAnsi"/>
          <w:b/>
          <w:color w:val="7030A0"/>
          <w:sz w:val="18"/>
          <w:szCs w:val="18"/>
        </w:rPr>
      </w:pPr>
      <w:r w:rsidRPr="0094189B">
        <w:rPr>
          <w:rFonts w:cstheme="minorHAnsi"/>
          <w:b/>
          <w:color w:val="7030A0"/>
          <w:sz w:val="18"/>
          <w:szCs w:val="18"/>
        </w:rPr>
        <w:t>Tél. : 04.344.97.47</w:t>
      </w:r>
    </w:p>
    <w:p w14:paraId="6F04076D" w14:textId="2833D359" w:rsidR="008D105F" w:rsidRPr="008D105F" w:rsidRDefault="009F37A2" w:rsidP="008D105F">
      <w:pPr>
        <w:jc w:val="both"/>
        <w:rPr>
          <w:rFonts w:cstheme="minorHAnsi"/>
          <w:sz w:val="18"/>
          <w:szCs w:val="18"/>
        </w:rPr>
      </w:pPr>
      <w:hyperlink r:id="rId6" w:history="1">
        <w:r w:rsidR="008D105F" w:rsidRPr="0094189B">
          <w:rPr>
            <w:rStyle w:val="Lienhypertexte"/>
            <w:rFonts w:cstheme="minorHAnsi"/>
            <w:b/>
            <w:sz w:val="18"/>
            <w:szCs w:val="18"/>
          </w:rPr>
          <w:t>info@mariagoretti.be</w:t>
        </w:r>
      </w:hyperlink>
      <w:r w:rsidR="008D105F" w:rsidRPr="0094189B">
        <w:rPr>
          <w:rFonts w:cstheme="minorHAnsi"/>
          <w:b/>
          <w:color w:val="7030A0"/>
          <w:sz w:val="18"/>
          <w:szCs w:val="18"/>
        </w:rPr>
        <w:t xml:space="preserve"> </w:t>
      </w:r>
    </w:p>
    <w:p w14:paraId="2E4C19ED" w14:textId="77777777" w:rsidR="008D105F" w:rsidRDefault="008D105F"/>
    <w:p w14:paraId="2FA6B223" w14:textId="13549105" w:rsidR="00707EDF" w:rsidRDefault="00707EDF" w:rsidP="008D105F">
      <w:pPr>
        <w:jc w:val="both"/>
      </w:pPr>
      <w:r>
        <w:t>Chers parents, chers élèves,</w:t>
      </w:r>
    </w:p>
    <w:p w14:paraId="659CC0C7" w14:textId="14E7D46B" w:rsidR="00707EDF" w:rsidRDefault="00707EDF" w:rsidP="008D105F">
      <w:pPr>
        <w:jc w:val="both"/>
      </w:pPr>
      <w:proofErr w:type="gramStart"/>
      <w:r>
        <w:t>Suite au</w:t>
      </w:r>
      <w:proofErr w:type="gramEnd"/>
      <w:r>
        <w:t xml:space="preserve"> Comité de Concertation du 30 octobre, </w:t>
      </w:r>
      <w:r w:rsidR="00BB3AD0">
        <w:t xml:space="preserve">de nouvelles mesures ont été prises pour endiguer la propagation du virus COVID-19. </w:t>
      </w:r>
      <w:r w:rsidR="00DD2FF6">
        <w:t xml:space="preserve">Les cours ont été suspendus les 12 et 13 novembre. </w:t>
      </w:r>
      <w:r w:rsidR="00BB3AD0">
        <w:t xml:space="preserve">Les écoles passent en code rouge, à priori jusqu’aux vacances de Noël. </w:t>
      </w:r>
    </w:p>
    <w:p w14:paraId="51278511" w14:textId="5FEE3CF9" w:rsidR="00BB3AD0" w:rsidRDefault="00BB3AD0" w:rsidP="008D105F">
      <w:pPr>
        <w:jc w:val="both"/>
      </w:pPr>
      <w:r>
        <w:t>Cela entraine les changements suivants dans l’organisation de notre école :</w:t>
      </w:r>
    </w:p>
    <w:p w14:paraId="1EB67A64" w14:textId="1314C4C9" w:rsidR="00DD2FF6" w:rsidRPr="008D105F" w:rsidRDefault="00DD2FF6" w:rsidP="008D105F">
      <w:pPr>
        <w:jc w:val="both"/>
        <w:rPr>
          <w:b/>
          <w:bCs/>
          <w:i/>
          <w:iCs/>
          <w:sz w:val="26"/>
          <w:szCs w:val="26"/>
        </w:rPr>
      </w:pPr>
      <w:r w:rsidRPr="008D105F">
        <w:rPr>
          <w:b/>
          <w:bCs/>
          <w:i/>
          <w:iCs/>
          <w:sz w:val="26"/>
          <w:szCs w:val="26"/>
        </w:rPr>
        <w:t>Mesures sanitaires</w:t>
      </w:r>
    </w:p>
    <w:p w14:paraId="1ECE1F00" w14:textId="1CCCD674" w:rsidR="004B141A" w:rsidRDefault="004B141A" w:rsidP="008D105F">
      <w:pPr>
        <w:jc w:val="both"/>
      </w:pPr>
      <w:r>
        <w:t>Les mesures suivantes restent d’application. Ces mesures sont très majoritairement respectée</w:t>
      </w:r>
      <w:r w:rsidR="004B6CB1">
        <w:t>s</w:t>
      </w:r>
      <w:r>
        <w:t xml:space="preserve"> dans l’école, nous espérons qu’elles </w:t>
      </w:r>
      <w:proofErr w:type="gramStart"/>
      <w:r>
        <w:t>soient</w:t>
      </w:r>
      <w:proofErr w:type="gramEnd"/>
      <w:r>
        <w:t xml:space="preserve"> également suivies en dehors.</w:t>
      </w:r>
    </w:p>
    <w:p w14:paraId="4E49226B" w14:textId="0835D2A9" w:rsidR="00DD2FF6" w:rsidRDefault="00DD2FF6" w:rsidP="008D105F">
      <w:pPr>
        <w:pStyle w:val="Paragraphedeliste"/>
        <w:numPr>
          <w:ilvl w:val="0"/>
          <w:numId w:val="2"/>
        </w:numPr>
        <w:jc w:val="both"/>
      </w:pPr>
      <w:r>
        <w:t>Le port du masque</w:t>
      </w:r>
    </w:p>
    <w:p w14:paraId="13DF5DFC" w14:textId="6EFB2727" w:rsidR="00DD2FF6" w:rsidRDefault="00DD2FF6" w:rsidP="008D105F">
      <w:pPr>
        <w:pStyle w:val="Paragraphedeliste"/>
        <w:numPr>
          <w:ilvl w:val="0"/>
          <w:numId w:val="2"/>
        </w:numPr>
        <w:jc w:val="both"/>
      </w:pPr>
      <w:r>
        <w:t>Le lavage fréquent des mains</w:t>
      </w:r>
    </w:p>
    <w:p w14:paraId="3419F0DD" w14:textId="5AEFFF87" w:rsidR="00DD2FF6" w:rsidRDefault="00DD2FF6" w:rsidP="008D105F">
      <w:pPr>
        <w:pStyle w:val="Paragraphedeliste"/>
        <w:numPr>
          <w:ilvl w:val="0"/>
          <w:numId w:val="2"/>
        </w:numPr>
        <w:jc w:val="both"/>
      </w:pPr>
      <w:r>
        <w:t>Le respect de la distance (1m50) entre les personnes</w:t>
      </w:r>
    </w:p>
    <w:p w14:paraId="442AC5E5" w14:textId="06C320E9" w:rsidR="004B141A" w:rsidRDefault="004B141A" w:rsidP="008D105F">
      <w:pPr>
        <w:pStyle w:val="Paragraphedeliste"/>
        <w:numPr>
          <w:ilvl w:val="0"/>
          <w:numId w:val="2"/>
        </w:numPr>
        <w:jc w:val="both"/>
      </w:pPr>
      <w:r>
        <w:t>Le nettoyage des surfaces utilisées</w:t>
      </w:r>
    </w:p>
    <w:p w14:paraId="06D24C49" w14:textId="39A53CA8" w:rsidR="004B141A" w:rsidRDefault="004B141A" w:rsidP="008D105F">
      <w:pPr>
        <w:pStyle w:val="Paragraphedeliste"/>
        <w:numPr>
          <w:ilvl w:val="0"/>
          <w:numId w:val="2"/>
        </w:numPr>
        <w:jc w:val="both"/>
      </w:pPr>
      <w:r>
        <w:t>Le respect des sens de circulation et des accès de l’école</w:t>
      </w:r>
    </w:p>
    <w:p w14:paraId="43B1C10D" w14:textId="38925271" w:rsidR="00DD2FF6" w:rsidRPr="008D105F" w:rsidRDefault="00BB3AD0" w:rsidP="008D105F">
      <w:pPr>
        <w:jc w:val="both"/>
        <w:rPr>
          <w:b/>
          <w:bCs/>
          <w:i/>
          <w:iCs/>
          <w:sz w:val="26"/>
          <w:szCs w:val="26"/>
        </w:rPr>
      </w:pPr>
      <w:r w:rsidRPr="008D105F">
        <w:rPr>
          <w:b/>
          <w:bCs/>
          <w:i/>
          <w:iCs/>
          <w:sz w:val="26"/>
          <w:szCs w:val="26"/>
        </w:rPr>
        <w:t>Présence des élèves</w:t>
      </w:r>
    </w:p>
    <w:p w14:paraId="5EBE03CA" w14:textId="60718E18" w:rsidR="00BB3AD0" w:rsidRDefault="00325B17" w:rsidP="008D105F">
      <w:pPr>
        <w:pStyle w:val="Paragraphedeliste"/>
        <w:numPr>
          <w:ilvl w:val="0"/>
          <w:numId w:val="1"/>
        </w:numPr>
        <w:jc w:val="both"/>
      </w:pPr>
      <w:r>
        <w:t>Pour les</w:t>
      </w:r>
      <w:r w:rsidR="00BB3AD0">
        <w:t xml:space="preserve"> élèves de 1</w:t>
      </w:r>
      <w:r w:rsidR="00BB3AD0" w:rsidRPr="00BB3AD0">
        <w:rPr>
          <w:vertAlign w:val="superscript"/>
        </w:rPr>
        <w:t>ère</w:t>
      </w:r>
      <w:r w:rsidR="00BB3AD0">
        <w:t xml:space="preserve"> et 2</w:t>
      </w:r>
      <w:r w:rsidR="00BB3AD0" w:rsidRPr="00BB3AD0">
        <w:rPr>
          <w:vertAlign w:val="superscript"/>
        </w:rPr>
        <w:t>e</w:t>
      </w:r>
      <w:r w:rsidR="00BB3AD0">
        <w:t xml:space="preserve"> années (commune et différenciée)</w:t>
      </w:r>
      <w:r>
        <w:t>, rien ne change. Ils</w:t>
      </w:r>
      <w:r w:rsidR="00BB3AD0">
        <w:t xml:space="preserve"> s</w:t>
      </w:r>
      <w:r>
        <w:t xml:space="preserve">ont présents à 100% à </w:t>
      </w:r>
      <w:proofErr w:type="gramStart"/>
      <w:r>
        <w:t>l’école</w:t>
      </w:r>
      <w:proofErr w:type="gramEnd"/>
      <w:r>
        <w:t>, selon l’horaire habituel</w:t>
      </w:r>
      <w:r w:rsidR="00DD2FF6">
        <w:t>.</w:t>
      </w:r>
    </w:p>
    <w:p w14:paraId="7F650EC6" w14:textId="77777777" w:rsidR="008D105F" w:rsidRDefault="008D105F" w:rsidP="008D105F">
      <w:pPr>
        <w:pStyle w:val="Paragraphedeliste"/>
        <w:jc w:val="both"/>
      </w:pPr>
    </w:p>
    <w:p w14:paraId="0C85F5B5" w14:textId="5EBDF127" w:rsidR="00DD2FF6" w:rsidRDefault="00325B17" w:rsidP="008D105F">
      <w:pPr>
        <w:pStyle w:val="Paragraphedeliste"/>
        <w:numPr>
          <w:ilvl w:val="0"/>
          <w:numId w:val="1"/>
        </w:numPr>
      </w:pPr>
      <w:r>
        <w:t>Pour les élèves de 3</w:t>
      </w:r>
      <w:r w:rsidRPr="00325B17">
        <w:rPr>
          <w:vertAlign w:val="superscript"/>
        </w:rPr>
        <w:t>e</w:t>
      </w:r>
      <w:r>
        <w:t>, 4</w:t>
      </w:r>
      <w:r w:rsidRPr="00325B17">
        <w:rPr>
          <w:vertAlign w:val="superscript"/>
        </w:rPr>
        <w:t>e</w:t>
      </w:r>
      <w:r>
        <w:t>, 5</w:t>
      </w:r>
      <w:r w:rsidRPr="00325B17">
        <w:rPr>
          <w:vertAlign w:val="superscript"/>
        </w:rPr>
        <w:t>e</w:t>
      </w:r>
      <w:r>
        <w:t>, 6</w:t>
      </w:r>
      <w:r w:rsidRPr="00325B17">
        <w:rPr>
          <w:vertAlign w:val="superscript"/>
        </w:rPr>
        <w:t>e</w:t>
      </w:r>
      <w:r>
        <w:t xml:space="preserve"> et 7</w:t>
      </w:r>
      <w:r w:rsidRPr="00325B17">
        <w:rPr>
          <w:vertAlign w:val="superscript"/>
        </w:rPr>
        <w:t>e</w:t>
      </w:r>
      <w:r>
        <w:t xml:space="preserve"> années, les élèves seront présents à 50% du temps, un jour sur deux selon le calendrier ci-dessous. Les 7</w:t>
      </w:r>
      <w:r w:rsidRPr="00325B17">
        <w:rPr>
          <w:vertAlign w:val="superscript"/>
        </w:rPr>
        <w:t>e</w:t>
      </w:r>
      <w:r>
        <w:t xml:space="preserve"> sont divisés en 2 groupes</w:t>
      </w:r>
      <w:r w:rsidR="004B6CB1">
        <w:t> :</w:t>
      </w:r>
      <w:r w:rsidR="00DD2FF6">
        <w:br/>
        <w:t xml:space="preserve">           </w:t>
      </w:r>
      <w:r>
        <w:t>7A</w:t>
      </w:r>
      <w:r w:rsidR="00DD2FF6">
        <w:t xml:space="preserve"> : </w:t>
      </w:r>
      <w:r>
        <w:t>Manager, Artistique et Pédicure-Manucure</w:t>
      </w:r>
      <w:r w:rsidR="00DD2FF6">
        <w:br/>
        <w:t xml:space="preserve">           </w:t>
      </w:r>
      <w:r>
        <w:t>7B</w:t>
      </w:r>
      <w:r w:rsidR="00DD2FF6">
        <w:t xml:space="preserve"> : </w:t>
      </w:r>
      <w:r>
        <w:t xml:space="preserve">Esthétique, </w:t>
      </w:r>
      <w:proofErr w:type="spellStart"/>
      <w:r>
        <w:t>Cefa</w:t>
      </w:r>
      <w:proofErr w:type="spellEnd"/>
      <w:r>
        <w:t>, CESS, Elevage</w:t>
      </w:r>
    </w:p>
    <w:tbl>
      <w:tblPr>
        <w:tblStyle w:val="Grilledutableau"/>
        <w:tblW w:w="0" w:type="auto"/>
        <w:jc w:val="center"/>
        <w:tblLook w:val="04A0" w:firstRow="1" w:lastRow="0" w:firstColumn="1" w:lastColumn="0" w:noHBand="0" w:noVBand="1"/>
      </w:tblPr>
      <w:tblGrid>
        <w:gridCol w:w="1510"/>
        <w:gridCol w:w="1510"/>
        <w:gridCol w:w="1510"/>
        <w:gridCol w:w="1510"/>
        <w:gridCol w:w="1511"/>
        <w:gridCol w:w="1511"/>
      </w:tblGrid>
      <w:tr w:rsidR="00325B17" w:rsidRPr="00CA3962" w14:paraId="2F566001" w14:textId="77777777" w:rsidTr="008D105F">
        <w:trPr>
          <w:jc w:val="center"/>
        </w:trPr>
        <w:tc>
          <w:tcPr>
            <w:tcW w:w="1510" w:type="dxa"/>
          </w:tcPr>
          <w:p w14:paraId="56950BEA" w14:textId="6EFFE650" w:rsidR="00325B17" w:rsidRPr="00CA3962" w:rsidRDefault="00325B17" w:rsidP="00CA3962">
            <w:pPr>
              <w:jc w:val="center"/>
              <w:rPr>
                <w:b/>
                <w:bCs/>
              </w:rPr>
            </w:pPr>
            <w:r w:rsidRPr="00CA3962">
              <w:rPr>
                <w:b/>
                <w:bCs/>
              </w:rPr>
              <w:t>Semaine</w:t>
            </w:r>
          </w:p>
        </w:tc>
        <w:tc>
          <w:tcPr>
            <w:tcW w:w="1510" w:type="dxa"/>
          </w:tcPr>
          <w:p w14:paraId="2EF6F011" w14:textId="1A2E6B5E" w:rsidR="00325B17" w:rsidRPr="00CA3962" w:rsidRDefault="00325B17" w:rsidP="00CA3962">
            <w:pPr>
              <w:jc w:val="center"/>
              <w:rPr>
                <w:b/>
                <w:bCs/>
              </w:rPr>
            </w:pPr>
            <w:r w:rsidRPr="00CA3962">
              <w:rPr>
                <w:b/>
                <w:bCs/>
              </w:rPr>
              <w:t>Lundi</w:t>
            </w:r>
          </w:p>
        </w:tc>
        <w:tc>
          <w:tcPr>
            <w:tcW w:w="1510" w:type="dxa"/>
          </w:tcPr>
          <w:p w14:paraId="526490C5" w14:textId="24169E16" w:rsidR="00325B17" w:rsidRPr="00CA3962" w:rsidRDefault="00325B17" w:rsidP="00CA3962">
            <w:pPr>
              <w:jc w:val="center"/>
              <w:rPr>
                <w:b/>
                <w:bCs/>
              </w:rPr>
            </w:pPr>
            <w:r w:rsidRPr="00CA3962">
              <w:rPr>
                <w:b/>
                <w:bCs/>
              </w:rPr>
              <w:t>Mardi</w:t>
            </w:r>
          </w:p>
        </w:tc>
        <w:tc>
          <w:tcPr>
            <w:tcW w:w="1510" w:type="dxa"/>
          </w:tcPr>
          <w:p w14:paraId="7712B22D" w14:textId="6883B426" w:rsidR="00325B17" w:rsidRPr="00CA3962" w:rsidRDefault="00325B17" w:rsidP="00CA3962">
            <w:pPr>
              <w:jc w:val="center"/>
              <w:rPr>
                <w:b/>
                <w:bCs/>
              </w:rPr>
            </w:pPr>
            <w:r w:rsidRPr="00CA3962">
              <w:rPr>
                <w:b/>
                <w:bCs/>
              </w:rPr>
              <w:t>Mercredi</w:t>
            </w:r>
          </w:p>
        </w:tc>
        <w:tc>
          <w:tcPr>
            <w:tcW w:w="1511" w:type="dxa"/>
          </w:tcPr>
          <w:p w14:paraId="234A55AC" w14:textId="65FB2731" w:rsidR="00325B17" w:rsidRPr="00CA3962" w:rsidRDefault="00325B17" w:rsidP="00CA3962">
            <w:pPr>
              <w:jc w:val="center"/>
              <w:rPr>
                <w:b/>
                <w:bCs/>
              </w:rPr>
            </w:pPr>
            <w:r w:rsidRPr="00CA3962">
              <w:rPr>
                <w:b/>
                <w:bCs/>
              </w:rPr>
              <w:t>Jeudi</w:t>
            </w:r>
          </w:p>
        </w:tc>
        <w:tc>
          <w:tcPr>
            <w:tcW w:w="1511" w:type="dxa"/>
          </w:tcPr>
          <w:p w14:paraId="75C55B8E" w14:textId="52FD5FF8" w:rsidR="00325B17" w:rsidRPr="00CA3962" w:rsidRDefault="00325B17" w:rsidP="00CA3962">
            <w:pPr>
              <w:jc w:val="center"/>
              <w:rPr>
                <w:b/>
                <w:bCs/>
              </w:rPr>
            </w:pPr>
            <w:r w:rsidRPr="00CA3962">
              <w:rPr>
                <w:b/>
                <w:bCs/>
              </w:rPr>
              <w:t>Vendredi</w:t>
            </w:r>
          </w:p>
        </w:tc>
      </w:tr>
      <w:tr w:rsidR="00325B17" w14:paraId="29CB8808" w14:textId="77777777" w:rsidTr="008D105F">
        <w:trPr>
          <w:trHeight w:val="572"/>
          <w:jc w:val="center"/>
        </w:trPr>
        <w:tc>
          <w:tcPr>
            <w:tcW w:w="1510" w:type="dxa"/>
            <w:vAlign w:val="center"/>
          </w:tcPr>
          <w:p w14:paraId="1FADE54D" w14:textId="5F984D67" w:rsidR="00325B17" w:rsidRDefault="00325B17" w:rsidP="00CA3962">
            <w:pPr>
              <w:jc w:val="center"/>
            </w:pPr>
            <w:r>
              <w:t>16/11 – 20/11</w:t>
            </w:r>
          </w:p>
        </w:tc>
        <w:tc>
          <w:tcPr>
            <w:tcW w:w="1510" w:type="dxa"/>
            <w:shd w:val="clear" w:color="auto" w:fill="FFF2CC" w:themeFill="accent4" w:themeFillTint="33"/>
            <w:vAlign w:val="center"/>
          </w:tcPr>
          <w:p w14:paraId="6D4273C4" w14:textId="005FEF2D" w:rsidR="00325B17" w:rsidRDefault="00325B17" w:rsidP="00CA3962">
            <w:pPr>
              <w:jc w:val="center"/>
            </w:pPr>
            <w:r>
              <w:t>4</w:t>
            </w:r>
            <w:r w:rsidRPr="00325B17">
              <w:rPr>
                <w:vertAlign w:val="superscript"/>
              </w:rPr>
              <w:t>e</w:t>
            </w:r>
          </w:p>
        </w:tc>
        <w:tc>
          <w:tcPr>
            <w:tcW w:w="1510" w:type="dxa"/>
            <w:shd w:val="clear" w:color="auto" w:fill="DEEAF6" w:themeFill="accent5" w:themeFillTint="33"/>
            <w:vAlign w:val="center"/>
          </w:tcPr>
          <w:p w14:paraId="29601A45" w14:textId="2D336910"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0" w:type="dxa"/>
            <w:shd w:val="clear" w:color="auto" w:fill="FFF2CC" w:themeFill="accent4" w:themeFillTint="33"/>
            <w:vAlign w:val="center"/>
          </w:tcPr>
          <w:p w14:paraId="66DC8A7A" w14:textId="70BDB678"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1" w:type="dxa"/>
            <w:shd w:val="clear" w:color="auto" w:fill="DEEAF6" w:themeFill="accent5" w:themeFillTint="33"/>
            <w:vAlign w:val="center"/>
          </w:tcPr>
          <w:p w14:paraId="35B95A1D" w14:textId="44100895"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1" w:type="dxa"/>
            <w:shd w:val="clear" w:color="auto" w:fill="FFF2CC" w:themeFill="accent4" w:themeFillTint="33"/>
            <w:vAlign w:val="center"/>
          </w:tcPr>
          <w:p w14:paraId="22C2E4AD" w14:textId="119CEAFC"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r>
      <w:tr w:rsidR="00325B17" w14:paraId="161BA96C" w14:textId="77777777" w:rsidTr="008D105F">
        <w:trPr>
          <w:trHeight w:val="572"/>
          <w:jc w:val="center"/>
        </w:trPr>
        <w:tc>
          <w:tcPr>
            <w:tcW w:w="1510" w:type="dxa"/>
            <w:vAlign w:val="center"/>
          </w:tcPr>
          <w:p w14:paraId="002E63D1" w14:textId="3DEBF6E4" w:rsidR="00325B17" w:rsidRDefault="00325B17" w:rsidP="00CA3962">
            <w:pPr>
              <w:jc w:val="center"/>
            </w:pPr>
            <w:r>
              <w:t>23/11 – 27/11</w:t>
            </w:r>
          </w:p>
        </w:tc>
        <w:tc>
          <w:tcPr>
            <w:tcW w:w="1510" w:type="dxa"/>
            <w:shd w:val="clear" w:color="auto" w:fill="DEEAF6" w:themeFill="accent5" w:themeFillTint="33"/>
            <w:vAlign w:val="center"/>
          </w:tcPr>
          <w:p w14:paraId="0EB7F24A" w14:textId="3AFB9DBE"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0" w:type="dxa"/>
            <w:shd w:val="clear" w:color="auto" w:fill="FFF2CC" w:themeFill="accent4" w:themeFillTint="33"/>
            <w:vAlign w:val="center"/>
          </w:tcPr>
          <w:p w14:paraId="41D6BE8D" w14:textId="4BEF859C"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0" w:type="dxa"/>
            <w:shd w:val="clear" w:color="auto" w:fill="DEEAF6" w:themeFill="accent5" w:themeFillTint="33"/>
            <w:vAlign w:val="center"/>
          </w:tcPr>
          <w:p w14:paraId="6658FBDF" w14:textId="1BF3959D"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1" w:type="dxa"/>
            <w:shd w:val="clear" w:color="auto" w:fill="FFF2CC" w:themeFill="accent4" w:themeFillTint="33"/>
            <w:vAlign w:val="center"/>
          </w:tcPr>
          <w:p w14:paraId="7EC38575" w14:textId="3EE59720"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1" w:type="dxa"/>
            <w:shd w:val="clear" w:color="auto" w:fill="DEEAF6" w:themeFill="accent5" w:themeFillTint="33"/>
            <w:vAlign w:val="center"/>
          </w:tcPr>
          <w:p w14:paraId="2DE3C57A" w14:textId="670A51C2"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r>
      <w:tr w:rsidR="00325B17" w14:paraId="3E09B6C4" w14:textId="77777777" w:rsidTr="008D105F">
        <w:trPr>
          <w:trHeight w:val="572"/>
          <w:jc w:val="center"/>
        </w:trPr>
        <w:tc>
          <w:tcPr>
            <w:tcW w:w="1510" w:type="dxa"/>
            <w:vAlign w:val="center"/>
          </w:tcPr>
          <w:p w14:paraId="3E3F4E61" w14:textId="53B14D6B" w:rsidR="00325B17" w:rsidRDefault="00325B17" w:rsidP="00CA3962">
            <w:pPr>
              <w:jc w:val="center"/>
            </w:pPr>
            <w:r>
              <w:t>30/11 – 4/12</w:t>
            </w:r>
          </w:p>
        </w:tc>
        <w:tc>
          <w:tcPr>
            <w:tcW w:w="1510" w:type="dxa"/>
            <w:shd w:val="clear" w:color="auto" w:fill="FFF2CC" w:themeFill="accent4" w:themeFillTint="33"/>
            <w:vAlign w:val="center"/>
          </w:tcPr>
          <w:p w14:paraId="1DAEB748" w14:textId="08E37E38"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0" w:type="dxa"/>
            <w:shd w:val="clear" w:color="auto" w:fill="DEEAF6" w:themeFill="accent5" w:themeFillTint="33"/>
            <w:vAlign w:val="center"/>
          </w:tcPr>
          <w:p w14:paraId="52BA090A" w14:textId="4F384F73"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0" w:type="dxa"/>
            <w:shd w:val="clear" w:color="auto" w:fill="FFF2CC" w:themeFill="accent4" w:themeFillTint="33"/>
            <w:vAlign w:val="center"/>
          </w:tcPr>
          <w:p w14:paraId="45F9B433" w14:textId="1A6DEAC9"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1" w:type="dxa"/>
            <w:shd w:val="clear" w:color="auto" w:fill="DEEAF6" w:themeFill="accent5" w:themeFillTint="33"/>
            <w:vAlign w:val="center"/>
          </w:tcPr>
          <w:p w14:paraId="1782F421" w14:textId="4DA26C9F"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1" w:type="dxa"/>
            <w:shd w:val="clear" w:color="auto" w:fill="FFF2CC" w:themeFill="accent4" w:themeFillTint="33"/>
            <w:vAlign w:val="center"/>
          </w:tcPr>
          <w:p w14:paraId="15DC432C" w14:textId="2BE190EA"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r>
      <w:tr w:rsidR="00325B17" w14:paraId="029CE06C" w14:textId="77777777" w:rsidTr="008D105F">
        <w:trPr>
          <w:trHeight w:val="572"/>
          <w:jc w:val="center"/>
        </w:trPr>
        <w:tc>
          <w:tcPr>
            <w:tcW w:w="1510" w:type="dxa"/>
            <w:vAlign w:val="center"/>
          </w:tcPr>
          <w:p w14:paraId="15B5577F" w14:textId="0AE2794B" w:rsidR="00325B17" w:rsidRDefault="00325B17" w:rsidP="00CA3962">
            <w:pPr>
              <w:jc w:val="center"/>
            </w:pPr>
            <w:r>
              <w:t>7/12 – 11/12</w:t>
            </w:r>
          </w:p>
        </w:tc>
        <w:tc>
          <w:tcPr>
            <w:tcW w:w="1510" w:type="dxa"/>
            <w:shd w:val="clear" w:color="auto" w:fill="DEEAF6" w:themeFill="accent5" w:themeFillTint="33"/>
            <w:vAlign w:val="center"/>
          </w:tcPr>
          <w:p w14:paraId="68EA51E4" w14:textId="2E888D9B"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0" w:type="dxa"/>
            <w:shd w:val="clear" w:color="auto" w:fill="FFF2CC" w:themeFill="accent4" w:themeFillTint="33"/>
            <w:vAlign w:val="center"/>
          </w:tcPr>
          <w:p w14:paraId="00547EDC" w14:textId="0472D90F"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0" w:type="dxa"/>
            <w:shd w:val="clear" w:color="auto" w:fill="DEEAF6" w:themeFill="accent5" w:themeFillTint="33"/>
            <w:vAlign w:val="center"/>
          </w:tcPr>
          <w:p w14:paraId="44936808" w14:textId="65CD6E99"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1" w:type="dxa"/>
            <w:shd w:val="clear" w:color="auto" w:fill="FFF2CC" w:themeFill="accent4" w:themeFillTint="33"/>
            <w:vAlign w:val="center"/>
          </w:tcPr>
          <w:p w14:paraId="660AD7E4" w14:textId="66892AF9"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1" w:type="dxa"/>
            <w:shd w:val="clear" w:color="auto" w:fill="DEEAF6" w:themeFill="accent5" w:themeFillTint="33"/>
            <w:vAlign w:val="center"/>
          </w:tcPr>
          <w:p w14:paraId="49093E03" w14:textId="3EAD43F8"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r>
      <w:tr w:rsidR="00325B17" w14:paraId="44CCC95F" w14:textId="77777777" w:rsidTr="008D105F">
        <w:trPr>
          <w:trHeight w:val="572"/>
          <w:jc w:val="center"/>
        </w:trPr>
        <w:tc>
          <w:tcPr>
            <w:tcW w:w="1510" w:type="dxa"/>
            <w:vAlign w:val="center"/>
          </w:tcPr>
          <w:p w14:paraId="575A2EDA" w14:textId="3FDCBD4E" w:rsidR="00325B17" w:rsidRDefault="00325B17" w:rsidP="00CA3962">
            <w:pPr>
              <w:jc w:val="center"/>
            </w:pPr>
            <w:r>
              <w:t>14/12 – 18-12</w:t>
            </w:r>
          </w:p>
        </w:tc>
        <w:tc>
          <w:tcPr>
            <w:tcW w:w="1510" w:type="dxa"/>
            <w:shd w:val="clear" w:color="auto" w:fill="FFF2CC" w:themeFill="accent4" w:themeFillTint="33"/>
            <w:vAlign w:val="center"/>
          </w:tcPr>
          <w:p w14:paraId="39C45410" w14:textId="3F66C89D"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0" w:type="dxa"/>
            <w:shd w:val="clear" w:color="auto" w:fill="DEEAF6" w:themeFill="accent5" w:themeFillTint="33"/>
            <w:vAlign w:val="center"/>
          </w:tcPr>
          <w:p w14:paraId="3BD9C5C0" w14:textId="6D623671"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0" w:type="dxa"/>
            <w:shd w:val="clear" w:color="auto" w:fill="FFF2CC" w:themeFill="accent4" w:themeFillTint="33"/>
            <w:vAlign w:val="center"/>
          </w:tcPr>
          <w:p w14:paraId="2C842BB8" w14:textId="13457FF8"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c>
          <w:tcPr>
            <w:tcW w:w="1511" w:type="dxa"/>
            <w:shd w:val="clear" w:color="auto" w:fill="DEEAF6" w:themeFill="accent5" w:themeFillTint="33"/>
            <w:vAlign w:val="center"/>
          </w:tcPr>
          <w:p w14:paraId="658E0AEE" w14:textId="54A29C3A" w:rsidR="00325B17" w:rsidRDefault="00325B17" w:rsidP="00CA3962">
            <w:pPr>
              <w:jc w:val="center"/>
            </w:pPr>
            <w:r>
              <w:t>3</w:t>
            </w:r>
            <w:r w:rsidRPr="00325B17">
              <w:rPr>
                <w:vertAlign w:val="superscript"/>
              </w:rPr>
              <w:t>e</w:t>
            </w:r>
            <w:r>
              <w:t xml:space="preserve"> – 5</w:t>
            </w:r>
            <w:r w:rsidRPr="00325B17">
              <w:rPr>
                <w:vertAlign w:val="superscript"/>
              </w:rPr>
              <w:t>e</w:t>
            </w:r>
            <w:r>
              <w:t xml:space="preserve"> – 7</w:t>
            </w:r>
            <w:r w:rsidRPr="00325B17">
              <w:rPr>
                <w:vertAlign w:val="superscript"/>
              </w:rPr>
              <w:t>e</w:t>
            </w:r>
            <w:r>
              <w:t xml:space="preserve"> B</w:t>
            </w:r>
          </w:p>
        </w:tc>
        <w:tc>
          <w:tcPr>
            <w:tcW w:w="1511" w:type="dxa"/>
            <w:shd w:val="clear" w:color="auto" w:fill="FFF2CC" w:themeFill="accent4" w:themeFillTint="33"/>
            <w:vAlign w:val="center"/>
          </w:tcPr>
          <w:p w14:paraId="15464B8B" w14:textId="7A1BC5A5" w:rsidR="00325B17" w:rsidRDefault="00325B17" w:rsidP="00CA3962">
            <w:pPr>
              <w:jc w:val="center"/>
            </w:pPr>
            <w:r>
              <w:t>4</w:t>
            </w:r>
            <w:r w:rsidRPr="00325B17">
              <w:rPr>
                <w:vertAlign w:val="superscript"/>
              </w:rPr>
              <w:t>e</w:t>
            </w:r>
            <w:r>
              <w:t xml:space="preserve"> - 6</w:t>
            </w:r>
            <w:r w:rsidRPr="00325B17">
              <w:rPr>
                <w:vertAlign w:val="superscript"/>
              </w:rPr>
              <w:t>e</w:t>
            </w:r>
            <w:r>
              <w:t xml:space="preserve"> - 7</w:t>
            </w:r>
            <w:r w:rsidRPr="00325B17">
              <w:rPr>
                <w:vertAlign w:val="superscript"/>
              </w:rPr>
              <w:t>e</w:t>
            </w:r>
            <w:r>
              <w:t xml:space="preserve"> A</w:t>
            </w:r>
          </w:p>
        </w:tc>
      </w:tr>
    </w:tbl>
    <w:p w14:paraId="60B4934C" w14:textId="4A8445AE" w:rsidR="00325B17" w:rsidRPr="00DD2FF6" w:rsidRDefault="00DD2FF6" w:rsidP="00DD2FF6">
      <w:pPr>
        <w:jc w:val="center"/>
        <w:rPr>
          <w:b/>
          <w:bCs/>
        </w:rPr>
      </w:pPr>
      <w:r w:rsidRPr="00DD2FF6">
        <w:rPr>
          <w:b/>
          <w:bCs/>
        </w:rPr>
        <w:t>Les élèves de 1ères et 2</w:t>
      </w:r>
      <w:r w:rsidRPr="00DD2FF6">
        <w:rPr>
          <w:b/>
          <w:bCs/>
          <w:vertAlign w:val="superscript"/>
        </w:rPr>
        <w:t>ème</w:t>
      </w:r>
      <w:r w:rsidRPr="00DD2FF6">
        <w:rPr>
          <w:b/>
          <w:bCs/>
        </w:rPr>
        <w:t xml:space="preserve"> sont présents tou</w:t>
      </w:r>
      <w:r>
        <w:rPr>
          <w:b/>
          <w:bCs/>
        </w:rPr>
        <w:t>s les jours.</w:t>
      </w:r>
    </w:p>
    <w:p w14:paraId="784EA872" w14:textId="509AFC62" w:rsidR="00DD2FF6" w:rsidRDefault="00DD2FF6" w:rsidP="008D105F">
      <w:pPr>
        <w:pStyle w:val="Paragraphedeliste"/>
        <w:numPr>
          <w:ilvl w:val="0"/>
          <w:numId w:val="1"/>
        </w:numPr>
        <w:jc w:val="both"/>
      </w:pPr>
      <w:r>
        <w:t>L’horaire sera déposé sur Classroom chaque semaine et communiqué par les éducateurs.</w:t>
      </w:r>
    </w:p>
    <w:p w14:paraId="45933D09" w14:textId="62F4BCE3" w:rsidR="00DD2FF6" w:rsidRDefault="00DD2FF6" w:rsidP="008D105F">
      <w:pPr>
        <w:jc w:val="both"/>
      </w:pPr>
    </w:p>
    <w:p w14:paraId="61FF2D26" w14:textId="77777777" w:rsidR="008D105F" w:rsidRDefault="008D105F" w:rsidP="008D105F">
      <w:pPr>
        <w:jc w:val="both"/>
      </w:pPr>
    </w:p>
    <w:p w14:paraId="1A6B6D93" w14:textId="4931289C" w:rsidR="004B141A" w:rsidRPr="008D105F" w:rsidRDefault="00DD2FF6" w:rsidP="008D105F">
      <w:pPr>
        <w:jc w:val="both"/>
        <w:rPr>
          <w:b/>
          <w:bCs/>
          <w:i/>
          <w:iCs/>
          <w:sz w:val="26"/>
          <w:szCs w:val="26"/>
        </w:rPr>
      </w:pPr>
      <w:r w:rsidRPr="008D105F">
        <w:rPr>
          <w:b/>
          <w:bCs/>
          <w:i/>
          <w:iCs/>
          <w:sz w:val="26"/>
          <w:szCs w:val="26"/>
        </w:rPr>
        <w:lastRenderedPageBreak/>
        <w:t>Arrivées et temps de midi</w:t>
      </w:r>
    </w:p>
    <w:p w14:paraId="01253A4D" w14:textId="42AA8A0C" w:rsidR="004B141A" w:rsidRDefault="004B141A" w:rsidP="008D105F">
      <w:pPr>
        <w:pStyle w:val="Paragraphedeliste"/>
        <w:numPr>
          <w:ilvl w:val="0"/>
          <w:numId w:val="1"/>
        </w:numPr>
        <w:jc w:val="both"/>
      </w:pPr>
      <w:r>
        <w:t>Le porche</w:t>
      </w:r>
      <w:r w:rsidR="004B6CB1">
        <w:t xml:space="preserve"> et la grille</w:t>
      </w:r>
      <w:r>
        <w:t xml:space="preserve"> de l’école ouvre</w:t>
      </w:r>
      <w:r w:rsidR="004B6CB1">
        <w:t>nt</w:t>
      </w:r>
      <w:r>
        <w:t xml:space="preserve"> à 8h. Les élèves sont invités à rentrer au plus tôt et d’éviter les rassemblements sur les trottoirs.</w:t>
      </w:r>
    </w:p>
    <w:p w14:paraId="1A7480CB" w14:textId="08CE2ABF" w:rsidR="004B141A" w:rsidRDefault="004B141A" w:rsidP="008D105F">
      <w:pPr>
        <w:pStyle w:val="Paragraphedeliste"/>
        <w:numPr>
          <w:ilvl w:val="0"/>
          <w:numId w:val="1"/>
        </w:numPr>
        <w:jc w:val="both"/>
      </w:pPr>
      <w:r>
        <w:t>Les accès et sorties de l’école restent les mêmes :</w:t>
      </w:r>
    </w:p>
    <w:p w14:paraId="684A8E7E" w14:textId="77B80FBB" w:rsidR="004B141A" w:rsidRDefault="004B141A" w:rsidP="008D105F">
      <w:pPr>
        <w:pStyle w:val="Paragraphedeliste"/>
        <w:numPr>
          <w:ilvl w:val="1"/>
          <w:numId w:val="1"/>
        </w:numPr>
        <w:jc w:val="both"/>
      </w:pPr>
      <w:r>
        <w:t xml:space="preserve">Porche (rue </w:t>
      </w:r>
      <w:proofErr w:type="spellStart"/>
      <w:r>
        <w:t>renory</w:t>
      </w:r>
      <w:proofErr w:type="spellEnd"/>
      <w:r>
        <w:t>) pour les élèves des sections esthétique, coiffure et 7</w:t>
      </w:r>
      <w:r w:rsidRPr="004B141A">
        <w:rPr>
          <w:vertAlign w:val="superscript"/>
        </w:rPr>
        <w:t>e</w:t>
      </w:r>
      <w:r>
        <w:t xml:space="preserve"> CESS</w:t>
      </w:r>
      <w:r w:rsidR="008D105F">
        <w:t>.</w:t>
      </w:r>
    </w:p>
    <w:p w14:paraId="6F7B9FBF" w14:textId="47D955A9" w:rsidR="004B141A" w:rsidRDefault="004B141A" w:rsidP="008D105F">
      <w:pPr>
        <w:pStyle w:val="Paragraphedeliste"/>
        <w:numPr>
          <w:ilvl w:val="1"/>
          <w:numId w:val="1"/>
        </w:numPr>
        <w:jc w:val="both"/>
      </w:pPr>
      <w:r>
        <w:t>Grille (Rue H Denis) pour les élèves du premier degré, des sections scientifiques et animalières</w:t>
      </w:r>
      <w:r w:rsidR="008D105F">
        <w:t>.</w:t>
      </w:r>
    </w:p>
    <w:p w14:paraId="7AB960BA" w14:textId="28669195" w:rsidR="004B141A" w:rsidRDefault="004B141A" w:rsidP="008D105F">
      <w:pPr>
        <w:pStyle w:val="Paragraphedeliste"/>
        <w:numPr>
          <w:ilvl w:val="0"/>
          <w:numId w:val="1"/>
        </w:numPr>
        <w:jc w:val="both"/>
      </w:pPr>
      <w:r>
        <w:t xml:space="preserve">Pour le temps de midi, plus aucun sandwich ne peut être vendu et tous les distributeurs de boissons ou snacks sont inaccessibles. Veillez à prévoir le repas de midi, une gourde, une </w:t>
      </w:r>
      <w:proofErr w:type="gramStart"/>
      <w:r>
        <w:t>collation,…</w:t>
      </w:r>
      <w:proofErr w:type="gramEnd"/>
    </w:p>
    <w:p w14:paraId="01EBCBE9" w14:textId="6B4062E1" w:rsidR="004B141A" w:rsidRDefault="004B141A" w:rsidP="008D105F">
      <w:pPr>
        <w:pStyle w:val="Paragraphedeliste"/>
        <w:numPr>
          <w:ilvl w:val="0"/>
          <w:numId w:val="1"/>
        </w:numPr>
        <w:jc w:val="both"/>
      </w:pPr>
      <w:r>
        <w:t>Dans la cour, les élèves restent autant que possible avec les membres de leur classe (bulle)</w:t>
      </w:r>
      <w:r w:rsidR="008D105F">
        <w:t>.</w:t>
      </w:r>
    </w:p>
    <w:p w14:paraId="61CA1A61" w14:textId="2ABD3435" w:rsidR="004B141A" w:rsidRDefault="004B141A" w:rsidP="008D105F">
      <w:pPr>
        <w:jc w:val="both"/>
      </w:pPr>
    </w:p>
    <w:p w14:paraId="3788946B" w14:textId="01F72355" w:rsidR="004B141A" w:rsidRPr="008D105F" w:rsidRDefault="004B6CB1" w:rsidP="008D105F">
      <w:pPr>
        <w:jc w:val="both"/>
        <w:rPr>
          <w:b/>
          <w:bCs/>
          <w:i/>
          <w:iCs/>
          <w:sz w:val="26"/>
          <w:szCs w:val="26"/>
        </w:rPr>
      </w:pPr>
      <w:r w:rsidRPr="008D105F">
        <w:rPr>
          <w:b/>
          <w:bCs/>
          <w:i/>
          <w:iCs/>
          <w:sz w:val="26"/>
          <w:szCs w:val="26"/>
        </w:rPr>
        <w:t>Bulletins et réunions de parents</w:t>
      </w:r>
    </w:p>
    <w:p w14:paraId="011332F9" w14:textId="5051EF87" w:rsidR="004B6CB1" w:rsidRDefault="004B6CB1" w:rsidP="008D105F">
      <w:pPr>
        <w:pStyle w:val="Paragraphedeliste"/>
        <w:numPr>
          <w:ilvl w:val="0"/>
          <w:numId w:val="1"/>
        </w:numPr>
        <w:jc w:val="both"/>
      </w:pPr>
      <w:proofErr w:type="gramStart"/>
      <w:r>
        <w:t>Suite aux</w:t>
      </w:r>
      <w:proofErr w:type="gramEnd"/>
      <w:r>
        <w:t xml:space="preserve"> conseils de classe, les bulletins seront remis et envoyés à chaque élève dans le courant de la semaine prochaine.</w:t>
      </w:r>
    </w:p>
    <w:p w14:paraId="47DCDBC7" w14:textId="0D118A0B" w:rsidR="004B6CB1" w:rsidRDefault="004B6CB1" w:rsidP="008D105F">
      <w:pPr>
        <w:pStyle w:val="Paragraphedeliste"/>
        <w:numPr>
          <w:ilvl w:val="0"/>
          <w:numId w:val="1"/>
        </w:numPr>
        <w:jc w:val="both"/>
      </w:pPr>
      <w:r>
        <w:t>Au vu de la situation sanitaire, nous ne pouvons pour le moment pas organiser de rencontre avec les parents.</w:t>
      </w:r>
    </w:p>
    <w:p w14:paraId="05A66027" w14:textId="4D944E1B" w:rsidR="004B6CB1" w:rsidRDefault="004B6CB1" w:rsidP="004B6CB1"/>
    <w:p w14:paraId="4D8536DA" w14:textId="7A1F2895" w:rsidR="004B6CB1" w:rsidRPr="008D105F" w:rsidRDefault="004B6CB1" w:rsidP="004B6CB1">
      <w:pPr>
        <w:rPr>
          <w:b/>
          <w:bCs/>
          <w:i/>
          <w:iCs/>
          <w:sz w:val="26"/>
          <w:szCs w:val="26"/>
        </w:rPr>
      </w:pPr>
      <w:r w:rsidRPr="008D105F">
        <w:rPr>
          <w:b/>
          <w:bCs/>
          <w:i/>
          <w:iCs/>
          <w:sz w:val="26"/>
          <w:szCs w:val="26"/>
        </w:rPr>
        <w:t>Signalement COVID</w:t>
      </w:r>
    </w:p>
    <w:p w14:paraId="1864E0D4" w14:textId="33574585" w:rsidR="004B6CB1" w:rsidRDefault="004B6CB1" w:rsidP="008D105F">
      <w:pPr>
        <w:jc w:val="both"/>
      </w:pPr>
      <w:r>
        <w:tab/>
        <w:t xml:space="preserve">Comme évoqué dans une précédente communication, afin d’assurer la sécurité de tous, nous vous rappelons quelques </w:t>
      </w:r>
      <w:r w:rsidR="00C41174">
        <w:t>consignes à suivre</w:t>
      </w:r>
      <w:r w:rsidR="00A24639">
        <w:t> :</w:t>
      </w:r>
    </w:p>
    <w:p w14:paraId="3612D5B6" w14:textId="49C7E4A6" w:rsidR="00A24639" w:rsidRDefault="00A24639" w:rsidP="008D105F">
      <w:pPr>
        <w:pStyle w:val="Paragraphedeliste"/>
        <w:numPr>
          <w:ilvl w:val="0"/>
          <w:numId w:val="1"/>
        </w:numPr>
        <w:jc w:val="both"/>
      </w:pPr>
      <w:r>
        <w:t xml:space="preserve">En cas de symptômes (majeurs ou de plusieurs symptômes mineurs) ou </w:t>
      </w:r>
      <w:r w:rsidR="009F37A2">
        <w:t>e</w:t>
      </w:r>
      <w:r>
        <w:t xml:space="preserve">n cas de contact direct (- 1m50, sans masque pendant 15 min) avec quelqu’un diagnostiqué positif, l’élève ne </w:t>
      </w:r>
      <w:r w:rsidR="009F37A2">
        <w:t>peut</w:t>
      </w:r>
      <w:r>
        <w:t xml:space="preserve"> pas venir à l’école et il doit prendre contact avec son médecin.</w:t>
      </w:r>
    </w:p>
    <w:p w14:paraId="4FAE8F2C" w14:textId="7514D9AD" w:rsidR="00A24639" w:rsidRDefault="00A24639" w:rsidP="008D105F">
      <w:pPr>
        <w:pStyle w:val="Paragraphedeliste"/>
        <w:numPr>
          <w:ilvl w:val="0"/>
          <w:numId w:val="1"/>
        </w:numPr>
        <w:jc w:val="both"/>
      </w:pPr>
      <w:r>
        <w:t>Prévenir l’école au plus vite de l’absence mais également d’un test en cours, d’une quarantaine demandée par le médecin et des résultats du test.</w:t>
      </w:r>
    </w:p>
    <w:p w14:paraId="11A7E2A6" w14:textId="79FFAFCC" w:rsidR="00A24639" w:rsidRDefault="00A24639" w:rsidP="008D105F">
      <w:pPr>
        <w:jc w:val="both"/>
      </w:pPr>
      <w:r>
        <w:t>Sur base de ces informations, les services de la médecine scolaire décident de communiquer une information sur un risque faible, d’écarter un ou plusieurs élèves ayant été en contact rapproché ou de fermer une classe.</w:t>
      </w:r>
    </w:p>
    <w:p w14:paraId="61081C78" w14:textId="46312750" w:rsidR="00A24639" w:rsidRDefault="00A24639" w:rsidP="008D105F">
      <w:pPr>
        <w:jc w:val="both"/>
      </w:pPr>
      <w:r>
        <w:t>Merci à vous de continuer à nous communiquer au plus vite ces informations.</w:t>
      </w:r>
    </w:p>
    <w:p w14:paraId="1E0E11F7" w14:textId="77777777" w:rsidR="008D105F" w:rsidRDefault="008D105F" w:rsidP="008D105F">
      <w:pPr>
        <w:jc w:val="both"/>
      </w:pPr>
    </w:p>
    <w:p w14:paraId="0B96BCAB" w14:textId="5F6AE89D" w:rsidR="00A24639" w:rsidRDefault="00A24639" w:rsidP="008D105F">
      <w:pPr>
        <w:jc w:val="both"/>
      </w:pPr>
      <w:r>
        <w:tab/>
        <w:t>En ces moments d</w:t>
      </w:r>
      <w:r w:rsidR="00670053">
        <w:t xml:space="preserve">ifficiles, d’angoisse et d’incertitudes, nous souhaitons tout mettre en œuvre, avec votre aide, pour continuer à faire vivre l’école et à accueillir nos élèves dans les meilleures conditions. Nous profitons également de cette communication pour vous remercier </w:t>
      </w:r>
      <w:r w:rsidR="009F37A2">
        <w:t>de</w:t>
      </w:r>
      <w:r w:rsidR="00670053">
        <w:t xml:space="preserve"> votre soutien.</w:t>
      </w:r>
    </w:p>
    <w:p w14:paraId="4F6E1B41" w14:textId="4BB62E22" w:rsidR="00670053" w:rsidRDefault="00670053" w:rsidP="00A24639"/>
    <w:p w14:paraId="2714BBF9" w14:textId="617C0F54" w:rsidR="00F162D8" w:rsidRDefault="00F162D8" w:rsidP="00A24639"/>
    <w:p w14:paraId="6F64FB7B" w14:textId="10108217" w:rsidR="00F162D8" w:rsidRDefault="00F162D8" w:rsidP="00A24639"/>
    <w:p w14:paraId="205A6DCF" w14:textId="77777777" w:rsidR="00F162D8" w:rsidRDefault="00F162D8" w:rsidP="00A24639"/>
    <w:p w14:paraId="1941C043" w14:textId="1CD3E6D5" w:rsidR="00670053" w:rsidRDefault="00670053" w:rsidP="00A24639">
      <w:r>
        <w:t>J-F Vieslet</w:t>
      </w:r>
      <w:r>
        <w:tab/>
      </w:r>
      <w:r>
        <w:tab/>
      </w:r>
      <w:r>
        <w:tab/>
      </w:r>
      <w:r>
        <w:tab/>
      </w:r>
      <w:r>
        <w:tab/>
      </w:r>
      <w:r>
        <w:tab/>
      </w:r>
      <w:r>
        <w:tab/>
      </w:r>
      <w:r>
        <w:tab/>
      </w:r>
      <w:r>
        <w:tab/>
      </w:r>
      <w:r>
        <w:tab/>
      </w:r>
      <w:r w:rsidR="008D105F">
        <w:tab/>
      </w:r>
      <w:r>
        <w:t>M-R Rotolo</w:t>
      </w:r>
    </w:p>
    <w:p w14:paraId="1B57918B" w14:textId="084B3267" w:rsidR="00670053" w:rsidRDefault="00670053" w:rsidP="00A24639">
      <w:r>
        <w:t>Directeur Adjoint</w:t>
      </w:r>
      <w:r>
        <w:tab/>
      </w:r>
      <w:r>
        <w:tab/>
      </w:r>
      <w:r>
        <w:tab/>
      </w:r>
      <w:r>
        <w:tab/>
      </w:r>
      <w:r>
        <w:tab/>
      </w:r>
      <w:r>
        <w:tab/>
      </w:r>
      <w:r>
        <w:tab/>
      </w:r>
      <w:r>
        <w:tab/>
      </w:r>
      <w:r>
        <w:tab/>
      </w:r>
      <w:r w:rsidR="008D105F">
        <w:tab/>
      </w:r>
      <w:r>
        <w:t>Directrice</w:t>
      </w:r>
    </w:p>
    <w:sectPr w:rsidR="00670053" w:rsidSect="008D1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F5C1A"/>
    <w:multiLevelType w:val="hybridMultilevel"/>
    <w:tmpl w:val="365829D8"/>
    <w:lvl w:ilvl="0" w:tplc="DF72BD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9B1666C"/>
    <w:multiLevelType w:val="hybridMultilevel"/>
    <w:tmpl w:val="E0082862"/>
    <w:lvl w:ilvl="0" w:tplc="D7EE6CB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DF"/>
    <w:rsid w:val="002E2898"/>
    <w:rsid w:val="00325B17"/>
    <w:rsid w:val="004B141A"/>
    <w:rsid w:val="004B6CB1"/>
    <w:rsid w:val="00670053"/>
    <w:rsid w:val="00707EDF"/>
    <w:rsid w:val="008D105F"/>
    <w:rsid w:val="009F37A2"/>
    <w:rsid w:val="00A24639"/>
    <w:rsid w:val="00BB3AD0"/>
    <w:rsid w:val="00C1258C"/>
    <w:rsid w:val="00C41174"/>
    <w:rsid w:val="00CA3962"/>
    <w:rsid w:val="00DD2FF6"/>
    <w:rsid w:val="00F162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13CC"/>
  <w15:chartTrackingRefBased/>
  <w15:docId w15:val="{307CF36A-6DD6-44E1-90FA-935B240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AD0"/>
    <w:pPr>
      <w:ind w:left="720"/>
      <w:contextualSpacing/>
    </w:pPr>
  </w:style>
  <w:style w:type="table" w:styleId="Grilledutableau">
    <w:name w:val="Table Grid"/>
    <w:basedOn w:val="TableauNormal"/>
    <w:uiPriority w:val="39"/>
    <w:rsid w:val="0032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1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iagoretti.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Vieslet</dc:creator>
  <cp:keywords/>
  <dc:description/>
  <cp:lastModifiedBy>Jean-François Vieslet</cp:lastModifiedBy>
  <cp:revision>7</cp:revision>
  <dcterms:created xsi:type="dcterms:W3CDTF">2020-11-10T17:11:00Z</dcterms:created>
  <dcterms:modified xsi:type="dcterms:W3CDTF">2020-11-11T18:17:00Z</dcterms:modified>
</cp:coreProperties>
</file>